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D0" w:rsidRDefault="00AA33D0" w:rsidP="00AA3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POGRZEB DZIECKA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 w okresie płodowym ma prawo do pogrzebu.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Zwłoki takiego dziecka/</w:t>
      </w:r>
      <w:proofErr w:type="spellStart"/>
      <w:r>
        <w:rPr>
          <w:rFonts w:ascii="Times New Roman" w:hAnsi="Times New Roman" w:cs="Times New Roman"/>
          <w:sz w:val="28"/>
          <w:szCs w:val="28"/>
        </w:rPr>
        <w:t>embrionu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powinny być tak samo szanowane jak zwłoki zmarłej dorosłej osoby. 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Niezbywalnym prawem Rodziny jest pożegnać, opłakiwać i pochować takie dziecko. Forma pogrzebu takiego dziecka jest jednak różna – zależna od tego czy dziecko zostało ochrzczone czy też nie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zmarłe przed chrztem Kościół katolicki nie traktuje jako obowiązku religijnego. Dzieci zmarłe przed chrztem nie były katolikami i w rozumieniu prawa kanonicznego (Kan. 204-205) nie nabyły takich samych praw jako katolicy. W Polsce Konferencja Episkopatu zgodziła się na pogrzeb katolicki takiego dziecka oraz na mszę świętą pogrzebową. Warunkiem pogrzebu katolickiego dla takiego dziecka jest PRAGNIENIE OCHRZCZENIA JE PRZEZ RODZICÓW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Mszę sprawuje się w ornacie koloru białego – gdyż dziecko nie popełniło żadnego grzechu, zaś owoce mszy ofiaruje się za rodziców dziecka z prośbą o utulenie w żalu i pociechę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POWINNO SIĘ MÓWIĆ O POKROPKU TRUMNY DZIECKA WODĄ ŚWIĘCONĄ, GDYŻ NIE MA TO UMOCOWANIA ANI W PRAWIE KANONICZNYM ANI W NORMACH LITURGICZNYCH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Miejscem grzebania ciał zmarłych także dzieci czy płodów ludzkich jest: grób naziemny albo murowany, katakumby, względnie mogą być przechowywane w kolumbariach, bądź zostać zatopione w morzu. Z kolei miejsca wymienione w pochówku mogą zgodnie z prawem znajdować się tylko na cmentarzach (art. 12 ust. 3 o cmentarzach i chowaniu zmarłych)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Polskie prawo zezwala na zabiegi utrwalające w celu wstrzymania rozkładu zwłok (par. 3 ust. 3 Rozporządzenia Ministra Zdrowia z 7 grudnia 2001 roku w sprawie postępowania ze zwłokami i szczątkami ludzkimi). Nie ma przepisu zabraniającego tzw. Mumifikacji. Jednak te zabiegi w celu rozdysponowania zwłokami jest przeciwne wierze katolickiej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DOKUMENTACJA: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Szpital wystawia 1. Kartę urodzenia; 2. Kartę martwego urodzenia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Problem, który może się pojawić to określenie płci dziecka. Można takie określenie płci ustalić: na podstawie nadań organoleptycznych (jeśli poronienie nastąpiło po 16 tygodniu ciąży) bądź badanie genetyczne tkanek płodu (gdy mamy poronienie przed 16 tygodniem ciąży). Badanie genetyczne to pobranie np. kosmówki, pępowiny, </w:t>
      </w:r>
      <w:proofErr w:type="spellStart"/>
      <w:r>
        <w:rPr>
          <w:rFonts w:ascii="Times New Roman" w:hAnsi="Times New Roman" w:cs="Times New Roman"/>
          <w:sz w:val="28"/>
          <w:szCs w:val="28"/>
        </w:rPr>
        <w:t>przypępowinowe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fragmenty łożyska. Takie fragmenty zabezpiecza się poprzez umieszczenie w sterylnym pojemniku, zalane są solą parafinową. Badanie jednak takie nie spoczywa na podmiocie (szpitalu) lecz na rodzicach. Koszt takiego badania to od 300-500 złotych. 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ISTNIEJE WCZEŚNIEJ STOSOWANA ZASADA „UPRAWDOPODOBNIENIA PŁCI” – czyli na podstawie przeczucia matki. Nie ma podstaw prawnych do dokonania takiego rozróżnienia płci dziecka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A33D0" w:rsidRDefault="00AA33D0" w:rsidP="00AA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gdy dziecko urodziło się martwe, nie sporządza się aktu zgonu, lecz akt urodzenia z adnotacją, że dziecko urodziło się martwe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33D0" w:rsidRDefault="00AA33D0" w:rsidP="00AA3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Karta zgonu sporządzona przez lekarza daje możliwość pochówku dziecka martwo urodzonego (po 22 tygodniu ciąży) bądź dziecka poronionego (przed 22 tygodniem ciąży), nawet w przypadku nie ustalonej płci dziecka. </w:t>
      </w:r>
      <w:r>
        <w:rPr>
          <w:rFonts w:ascii="Times New Roman" w:hAnsi="Times New Roman" w:cs="Times New Roman"/>
          <w:b/>
          <w:sz w:val="28"/>
          <w:szCs w:val="28"/>
        </w:rPr>
        <w:t xml:space="preserve">Do takiego pochówku nie jest wymagany ani akt urodzenia dziecka z adnotacją o zgodnie, ani adnotacja USC o zarejestrowaniu zgonu. </w:t>
      </w:r>
    </w:p>
    <w:p w:rsidR="00AA33D0" w:rsidRDefault="00AA33D0" w:rsidP="00AA3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Jednak organizacja pogrzebu jest możliwa w przypadku sporządzenia takiego dokumentu</w:t>
      </w:r>
      <w:r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8"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0689" w:rsidRDefault="00070689"/>
    <w:sectPr w:rsidR="00070689" w:rsidSect="0007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A1" w:rsidRDefault="000B31A1" w:rsidP="00AA33D0">
      <w:pPr>
        <w:spacing w:after="0" w:line="240" w:lineRule="auto"/>
      </w:pPr>
      <w:r>
        <w:separator/>
      </w:r>
    </w:p>
  </w:endnote>
  <w:endnote w:type="continuationSeparator" w:id="0">
    <w:p w:rsidR="000B31A1" w:rsidRDefault="000B31A1" w:rsidP="00AA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A1" w:rsidRDefault="000B31A1" w:rsidP="00AA33D0">
      <w:pPr>
        <w:spacing w:after="0" w:line="240" w:lineRule="auto"/>
      </w:pPr>
      <w:r>
        <w:separator/>
      </w:r>
    </w:p>
  </w:footnote>
  <w:footnote w:type="continuationSeparator" w:id="0">
    <w:p w:rsidR="000B31A1" w:rsidRDefault="000B31A1" w:rsidP="00AA33D0">
      <w:pPr>
        <w:spacing w:after="0" w:line="240" w:lineRule="auto"/>
      </w:pPr>
      <w:r>
        <w:continuationSeparator/>
      </w:r>
    </w:p>
  </w:footnote>
  <w:footnote w:id="1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116-117.</w:t>
      </w:r>
    </w:p>
  </w:footnote>
  <w:footnote w:id="2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117-118.</w:t>
      </w:r>
    </w:p>
  </w:footnote>
  <w:footnote w:id="3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118-119.</w:t>
      </w:r>
    </w:p>
  </w:footnote>
  <w:footnote w:id="4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119.</w:t>
      </w:r>
    </w:p>
  </w:footnote>
  <w:footnote w:id="5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111-112.</w:t>
      </w:r>
    </w:p>
    <w:p w:rsidR="00AA33D0" w:rsidRDefault="00AA33D0" w:rsidP="00AA33D0">
      <w:pPr>
        <w:pStyle w:val="Tekstprzypisudolnego"/>
      </w:pPr>
    </w:p>
  </w:footnote>
  <w:footnote w:id="6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123-124.</w:t>
      </w:r>
    </w:p>
  </w:footnote>
  <w:footnote w:id="7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125.</w:t>
      </w:r>
    </w:p>
  </w:footnote>
  <w:footnote w:id="8">
    <w:p w:rsidR="00AA33D0" w:rsidRDefault="00AA33D0" w:rsidP="00AA33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Zob. P. Kroczek, </w:t>
      </w:r>
      <w:r>
        <w:rPr>
          <w:rFonts w:ascii="Times New Roman" w:hAnsi="Times New Roman" w:cs="Times New Roman"/>
          <w:i/>
          <w:sz w:val="24"/>
          <w:szCs w:val="24"/>
        </w:rPr>
        <w:t>Nadzieja zbawienia. Pogrzeb dziecka zmarłego w okresie okołoporodowym</w:t>
      </w:r>
      <w:r>
        <w:rPr>
          <w:rFonts w:ascii="Times New Roman" w:hAnsi="Times New Roman" w:cs="Times New Roman"/>
          <w:sz w:val="24"/>
          <w:szCs w:val="24"/>
        </w:rPr>
        <w:t xml:space="preserve">, w: K. Porosło, R. Kilanowicz, P. Kroczek, K. Rawicz-Kostro, </w:t>
      </w:r>
      <w:r>
        <w:rPr>
          <w:rFonts w:ascii="Times New Roman" w:hAnsi="Times New Roman" w:cs="Times New Roman"/>
          <w:i/>
          <w:sz w:val="24"/>
          <w:szCs w:val="24"/>
        </w:rPr>
        <w:t>Zobaczyć Boga. Chrześcijański sens śmierci, liturgia pogrzebu, modlitwa za zmarłych</w:t>
      </w:r>
      <w:r>
        <w:rPr>
          <w:rFonts w:ascii="Times New Roman" w:hAnsi="Times New Roman" w:cs="Times New Roman"/>
          <w:sz w:val="24"/>
          <w:szCs w:val="24"/>
        </w:rPr>
        <w:t>, Wam, Kraków 2019, s. 125.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3D0"/>
    <w:rsid w:val="00070689"/>
    <w:rsid w:val="000B31A1"/>
    <w:rsid w:val="00AA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3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3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3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2</cp:revision>
  <dcterms:created xsi:type="dcterms:W3CDTF">2020-11-21T10:58:00Z</dcterms:created>
  <dcterms:modified xsi:type="dcterms:W3CDTF">2020-11-21T10:59:00Z</dcterms:modified>
</cp:coreProperties>
</file>